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8E7CF" w14:textId="7480F523" w:rsidR="00125AC0" w:rsidRDefault="00125AC0" w:rsidP="00E21A03">
      <w:pPr>
        <w:pStyle w:val="Heading1"/>
      </w:pPr>
      <w:r w:rsidRPr="00125AC0">
        <w:t>Biosecurity briefing for the allied pig industry</w:t>
      </w:r>
    </w:p>
    <w:p w14:paraId="7597EBC9" w14:textId="2CC861B8" w:rsidR="00D7403A" w:rsidRDefault="00D7403A" w:rsidP="00E21A03">
      <w:pPr>
        <w:pStyle w:val="IntroText"/>
      </w:pPr>
      <w:r w:rsidRPr="009E07CB">
        <w:t xml:space="preserve">This document is part of the standard operating procedures (SOPs) for porcine epidemic diarrhoea (PED) and is identified as SOP </w:t>
      </w:r>
      <w:r>
        <w:t>14</w:t>
      </w:r>
      <w:r w:rsidRPr="009E07CB">
        <w:t xml:space="preserve">. </w:t>
      </w:r>
    </w:p>
    <w:p w14:paraId="6BE6070A" w14:textId="3A5131FB" w:rsidR="008A1B8E" w:rsidRDefault="008A1B8E" w:rsidP="00E21A03">
      <w:pPr>
        <w:pStyle w:val="Heading2"/>
      </w:pPr>
      <w:r>
        <w:t>What is</w:t>
      </w:r>
      <w:r w:rsidR="003F30B5">
        <w:t xml:space="preserve"> PED</w:t>
      </w:r>
      <w:r>
        <w:t>?</w:t>
      </w:r>
    </w:p>
    <w:p w14:paraId="79ACB3A3" w14:textId="71BF4EE9" w:rsidR="00826167" w:rsidRDefault="00826167" w:rsidP="003747AA">
      <w:r w:rsidRPr="00826167">
        <w:t>PED is a highly contagious gastrointestinal disease of pigs caused by a coronavirus.</w:t>
      </w:r>
      <w:r w:rsidR="007A7CA1" w:rsidRPr="007A7CA1">
        <w:t xml:space="preserve"> It does not affect humans or pose a risk to food safety.</w:t>
      </w:r>
    </w:p>
    <w:p w14:paraId="0505E5C0" w14:textId="77777777" w:rsidR="00662E8F" w:rsidRDefault="003747AA" w:rsidP="003747AA">
      <w:r w:rsidRPr="00C17282">
        <w:t>More than a decade after its introduction in 2013,</w:t>
      </w:r>
      <w:r w:rsidRPr="00315CAF">
        <w:t xml:space="preserve"> </w:t>
      </w:r>
      <w:r w:rsidR="00E21A03">
        <w:t>p</w:t>
      </w:r>
      <w:r w:rsidRPr="009E07CB">
        <w:t xml:space="preserve">orcine epidemic diarrhoea </w:t>
      </w:r>
      <w:r>
        <w:t>virus (</w:t>
      </w:r>
      <w:proofErr w:type="spellStart"/>
      <w:r>
        <w:t>PEDv</w:t>
      </w:r>
      <w:proofErr w:type="spellEnd"/>
      <w:r>
        <w:t>)</w:t>
      </w:r>
      <w:r w:rsidRPr="00C17282">
        <w:t xml:space="preserve"> continues to circulate within the US swine industry.</w:t>
      </w:r>
      <w:r>
        <w:t xml:space="preserve"> </w:t>
      </w:r>
    </w:p>
    <w:p w14:paraId="6C2D12E3" w14:textId="6F0A9BBF" w:rsidR="003747AA" w:rsidRDefault="003747AA" w:rsidP="003747AA">
      <w:r>
        <w:t>The non-INDEL strain, generally regarded as more virulent, remains the predominant lineage in the US with piglet mortality rates of 50–100%.</w:t>
      </w:r>
    </w:p>
    <w:p w14:paraId="49D96D34" w14:textId="77777777" w:rsidR="00662E8F" w:rsidRDefault="003747AA" w:rsidP="003747AA">
      <w:r>
        <w:t xml:space="preserve">The virus continues to circulate widely in China. Recent surveillance studies (2023-2024) continue to report high positivity rates in diarrhoeic piglets, typically around 36-48% of tested samples, depending on region. </w:t>
      </w:r>
    </w:p>
    <w:p w14:paraId="183A786B" w14:textId="4E4BB7DD" w:rsidR="003747AA" w:rsidRDefault="003747AA" w:rsidP="003747AA">
      <w:r>
        <w:t>Multiple genotypes are co-circulating, but G2c/</w:t>
      </w:r>
      <w:proofErr w:type="spellStart"/>
      <w:r>
        <w:t>GIIc</w:t>
      </w:r>
      <w:proofErr w:type="spellEnd"/>
      <w:r>
        <w:t xml:space="preserve"> and other variant strains are now dominant in many regions.</w:t>
      </w:r>
    </w:p>
    <w:p w14:paraId="58B3E3A3" w14:textId="77777777" w:rsidR="00662E8F" w:rsidRDefault="003747AA" w:rsidP="003747AA">
      <w:proofErr w:type="spellStart"/>
      <w:r>
        <w:t>PEDv</w:t>
      </w:r>
      <w:proofErr w:type="spellEnd"/>
      <w:r>
        <w:t xml:space="preserve"> remains endemic in South Korea. Highly pathogenic G2b strains have been dominant since the 2013-2014 epidemic and continue to evolve locally. </w:t>
      </w:r>
    </w:p>
    <w:p w14:paraId="162A4E5B" w14:textId="353F4E84" w:rsidR="003747AA" w:rsidRDefault="003747AA" w:rsidP="003747AA">
      <w:r>
        <w:t>In 2026, Korean researchers reported the emergence of a G2c variant closely related to contemporary Chinese strains, which caused severe disease and 100% mortality in experimentally infected piglets.</w:t>
      </w:r>
    </w:p>
    <w:p w14:paraId="700CB659" w14:textId="77777777" w:rsidR="003747AA" w:rsidRDefault="003747AA" w:rsidP="003747AA">
      <w:r>
        <w:t xml:space="preserve">In Japan, </w:t>
      </w:r>
      <w:proofErr w:type="spellStart"/>
      <w:r>
        <w:t>PEDv</w:t>
      </w:r>
      <w:proofErr w:type="spellEnd"/>
      <w:r>
        <w:t xml:space="preserve"> re-emerged in 2013 after a long period of relative absence, resulting in major losses affecting approximately 1.2 million pigs. The disease is still considered endemic at a low level, with sporadic outbreaks occurring despite vaccination and control measures.</w:t>
      </w:r>
    </w:p>
    <w:p w14:paraId="0348CEE2" w14:textId="0E5CAC57" w:rsidR="003747AA" w:rsidRDefault="003747AA" w:rsidP="008A1B8E">
      <w:r>
        <w:t xml:space="preserve">As of July 2026, there were no cases of </w:t>
      </w:r>
      <w:proofErr w:type="spellStart"/>
      <w:r>
        <w:t>PEDv</w:t>
      </w:r>
      <w:proofErr w:type="spellEnd"/>
      <w:r>
        <w:t xml:space="preserve"> diagnosed in the UK and keeping it out remains a priority. The UK pig industry must remain vigilant and maintain good biosecurity.</w:t>
      </w:r>
    </w:p>
    <w:p w14:paraId="61ECDC75" w14:textId="77777777" w:rsidR="00C50F8C" w:rsidRDefault="00C50F8C" w:rsidP="00E21A03">
      <w:pPr>
        <w:pStyle w:val="Heading2"/>
      </w:pPr>
      <w:r>
        <w:t xml:space="preserve">Symptoms </w:t>
      </w:r>
    </w:p>
    <w:p w14:paraId="5F41FE8D" w14:textId="45C44D7D" w:rsidR="00C50F8C" w:rsidRPr="00E456B3" w:rsidRDefault="00C50F8C" w:rsidP="00E21A03">
      <w:proofErr w:type="spellStart"/>
      <w:r w:rsidRPr="00E456B3">
        <w:t>PEDv</w:t>
      </w:r>
      <w:proofErr w:type="spellEnd"/>
      <w:r w:rsidRPr="00E456B3">
        <w:t xml:space="preserve"> can present with a range of clinical signs. Symptoms may include:</w:t>
      </w:r>
    </w:p>
    <w:p w14:paraId="01CF46C3" w14:textId="4196A5C4" w:rsidR="00C50F8C" w:rsidRDefault="00C50F8C" w:rsidP="00C50F8C">
      <w:pPr>
        <w:pStyle w:val="Bullet"/>
      </w:pPr>
      <w:r>
        <w:t xml:space="preserve">Watery diarrhoea </w:t>
      </w:r>
      <w:r w:rsidR="00A45796">
        <w:t>(Figure 1)</w:t>
      </w:r>
    </w:p>
    <w:p w14:paraId="07DA4AA9" w14:textId="0FA74D7B" w:rsidR="00C50F8C" w:rsidRDefault="00C50F8C" w:rsidP="00C50F8C">
      <w:pPr>
        <w:pStyle w:val="Bullet"/>
      </w:pPr>
      <w:r>
        <w:t>Mild systemic signs such as fever, anorexia</w:t>
      </w:r>
      <w:r w:rsidR="00A45796">
        <w:t>,</w:t>
      </w:r>
      <w:r w:rsidR="00546049">
        <w:t xml:space="preserve"> </w:t>
      </w:r>
      <w:r>
        <w:t xml:space="preserve">lethargy </w:t>
      </w:r>
      <w:r w:rsidR="00546049">
        <w:t>and sometimes wasting (Figure 2)</w:t>
      </w:r>
    </w:p>
    <w:p w14:paraId="5C6EE221" w14:textId="77777777" w:rsidR="00C50F8C" w:rsidRDefault="00C50F8C" w:rsidP="00C50F8C">
      <w:pPr>
        <w:pStyle w:val="Bullet"/>
      </w:pPr>
      <w:r>
        <w:t>On post</w:t>
      </w:r>
      <w:r>
        <w:rPr>
          <w:rFonts w:ascii="Cambria Math" w:hAnsi="Cambria Math" w:cs="Cambria Math"/>
        </w:rPr>
        <w:t>‐</w:t>
      </w:r>
      <w:r>
        <w:t>mortem, the small intestine is ﬁlled with yellow ﬂuid, thin-walled and distended.</w:t>
      </w:r>
    </w:p>
    <w:p w14:paraId="24E5E752" w14:textId="77777777" w:rsidR="00C50F8C" w:rsidRDefault="00C50F8C" w:rsidP="006807B8">
      <w:r>
        <w:t>These symptoms can be seen with other endemic diseases, such as salmonella and swine dysentery, but if any symptoms are suspicious or unusual, inform the oﬃcial veterinarian (OV) for the plant.</w:t>
      </w:r>
    </w:p>
    <w:p w14:paraId="69D93EE7" w14:textId="4CA41F0D" w:rsidR="001D17FC" w:rsidRDefault="00C50F8C" w:rsidP="006807B8">
      <w:r>
        <w:lastRenderedPageBreak/>
        <w:t xml:space="preserve">Disease has mostly been seen in </w:t>
      </w:r>
      <w:r w:rsidR="006807B8">
        <w:t>piglets but</w:t>
      </w:r>
      <w:r>
        <w:t xml:space="preserve"> has also been seen in fattening pigs and adults, often associated with moving and/or mixing of groups</w:t>
      </w:r>
      <w:r w:rsidR="006807B8">
        <w:t>.</w:t>
      </w:r>
    </w:p>
    <w:p w14:paraId="5C10E699" w14:textId="3093063F" w:rsidR="005E23F6" w:rsidRPr="00E21A03" w:rsidRDefault="005E23F6" w:rsidP="008A1B8E">
      <w:pPr>
        <w:rPr>
          <w:b/>
          <w:bCs/>
        </w:rPr>
      </w:pPr>
      <w:r w:rsidRPr="00E21A03">
        <w:rPr>
          <w:b/>
          <w:bCs/>
        </w:rPr>
        <w:t>Figure 1</w:t>
      </w:r>
      <w:r w:rsidR="00546049">
        <w:rPr>
          <w:b/>
          <w:bCs/>
        </w:rPr>
        <w:t>. Piglets with water</w:t>
      </w:r>
      <w:r w:rsidR="000E3896">
        <w:rPr>
          <w:b/>
          <w:bCs/>
        </w:rPr>
        <w:t>y diarrhoea</w:t>
      </w:r>
    </w:p>
    <w:p w14:paraId="5E37009D" w14:textId="77777777" w:rsidR="00546049" w:rsidRDefault="00546049" w:rsidP="008A1B8E">
      <w:pPr>
        <w:rPr>
          <w:noProof/>
        </w:rPr>
      </w:pPr>
      <w:r w:rsidRPr="00436680">
        <w:rPr>
          <w:noProof/>
        </w:rPr>
        <w:drawing>
          <wp:inline distT="0" distB="0" distL="0" distR="0" wp14:anchorId="0A50CF1A" wp14:editId="158863D2">
            <wp:extent cx="3053751" cy="1513145"/>
            <wp:effectExtent l="0" t="0" r="0" b="0"/>
            <wp:docPr id="11" name="Image 11" descr="Piglets in a slatted-floor pen, with visible watery diarrhoea staining the floor and hindquart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Piglets in a slatted-floor pen, with visible watery diarrhoea staining the floor and hindquarters."/>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53751" cy="1513145"/>
                    </a:xfrm>
                    <a:prstGeom prst="rect">
                      <a:avLst/>
                    </a:prstGeom>
                  </pic:spPr>
                </pic:pic>
              </a:graphicData>
            </a:graphic>
          </wp:inline>
        </w:drawing>
      </w:r>
    </w:p>
    <w:p w14:paraId="2E245B17" w14:textId="77777777" w:rsidR="00D22572" w:rsidRDefault="00D22572" w:rsidP="00D22572">
      <w:r>
        <w:t xml:space="preserve">Source: </w:t>
      </w:r>
      <w:r w:rsidRPr="007C7EC8">
        <w:t>pig333.com</w:t>
      </w:r>
    </w:p>
    <w:p w14:paraId="14AD5A01" w14:textId="22D2F586" w:rsidR="00546049" w:rsidRDefault="00546049" w:rsidP="008A1B8E">
      <w:pPr>
        <w:rPr>
          <w:noProof/>
        </w:rPr>
      </w:pPr>
      <w:r w:rsidRPr="000E3896">
        <w:rPr>
          <w:b/>
          <w:bCs/>
          <w:noProof/>
        </w:rPr>
        <w:t>Figure</w:t>
      </w:r>
      <w:r>
        <w:rPr>
          <w:noProof/>
        </w:rPr>
        <w:t xml:space="preserve"> </w:t>
      </w:r>
      <w:r w:rsidRPr="00546049">
        <w:rPr>
          <w:b/>
          <w:bCs/>
          <w:noProof/>
        </w:rPr>
        <w:t>2</w:t>
      </w:r>
      <w:r>
        <w:rPr>
          <w:noProof/>
        </w:rPr>
        <w:t xml:space="preserve">. </w:t>
      </w:r>
      <w:r w:rsidRPr="00E21A03">
        <w:rPr>
          <w:b/>
          <w:bCs/>
        </w:rPr>
        <w:t>Runt piglets</w:t>
      </w:r>
      <w:r w:rsidR="000E3896">
        <w:rPr>
          <w:b/>
          <w:bCs/>
        </w:rPr>
        <w:t xml:space="preserve"> with</w:t>
      </w:r>
      <w:r w:rsidRPr="00E21A03">
        <w:rPr>
          <w:b/>
          <w:bCs/>
        </w:rPr>
        <w:t xml:space="preserve"> vomiting, wasting and diarrhoea typical of </w:t>
      </w:r>
      <w:proofErr w:type="spellStart"/>
      <w:r w:rsidRPr="00E21A03">
        <w:rPr>
          <w:b/>
          <w:bCs/>
        </w:rPr>
        <w:t>PED</w:t>
      </w:r>
      <w:r>
        <w:rPr>
          <w:b/>
          <w:bCs/>
        </w:rPr>
        <w:t>v</w:t>
      </w:r>
      <w:proofErr w:type="spellEnd"/>
      <w:r w:rsidRPr="00E21A03">
        <w:rPr>
          <w:b/>
          <w:bCs/>
        </w:rPr>
        <w:t xml:space="preserve"> in current outbreaks in Asia</w:t>
      </w:r>
    </w:p>
    <w:p w14:paraId="4A6197D1" w14:textId="336D9E58" w:rsidR="006740DE" w:rsidRDefault="00546049" w:rsidP="008A1B8E">
      <w:r w:rsidRPr="00436680">
        <w:rPr>
          <w:noProof/>
        </w:rPr>
        <w:drawing>
          <wp:inline distT="0" distB="0" distL="0" distR="0" wp14:anchorId="0F606BEA" wp14:editId="71574E86">
            <wp:extent cx="2674189" cy="1651476"/>
            <wp:effectExtent l="0" t="0" r="0" b="6350"/>
            <wp:docPr id="10" name="Image 10" descr="Undersized piglets with poor body condition and visible watery diarrhoea typical of PEDv infec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Undersized piglets with poor body condition and visible watery diarrhoea typical of PEDv infection."/>
                    <pic:cNvPicPr/>
                  </pic:nvPicPr>
                  <pic:blipFill>
                    <a:blip r:embed="rId9" cstate="print"/>
                    <a:stretch>
                      <a:fillRect/>
                    </a:stretch>
                  </pic:blipFill>
                  <pic:spPr>
                    <a:xfrm>
                      <a:off x="0" y="0"/>
                      <a:ext cx="2677895" cy="1653765"/>
                    </a:xfrm>
                    <a:prstGeom prst="rect">
                      <a:avLst/>
                    </a:prstGeom>
                  </pic:spPr>
                </pic:pic>
              </a:graphicData>
            </a:graphic>
          </wp:inline>
        </w:drawing>
      </w:r>
    </w:p>
    <w:p w14:paraId="047BB0C6" w14:textId="08B4AA00" w:rsidR="00854E1C" w:rsidRDefault="007C7EC8" w:rsidP="00DD16C6">
      <w:r>
        <w:t xml:space="preserve">Source: </w:t>
      </w:r>
      <w:r w:rsidRPr="007C7EC8">
        <w:t>pig333.com</w:t>
      </w:r>
    </w:p>
    <w:p w14:paraId="35596E0F" w14:textId="1AC407DA" w:rsidR="00695466" w:rsidRDefault="00695466" w:rsidP="00E21A03">
      <w:pPr>
        <w:pStyle w:val="Heading2"/>
      </w:pPr>
      <w:r>
        <w:t>Best practice</w:t>
      </w:r>
    </w:p>
    <w:p w14:paraId="1839461E" w14:textId="058320A8" w:rsidR="00DD16C6" w:rsidRDefault="00695466" w:rsidP="00DD16C6">
      <w:r>
        <w:t>Some of the following biosecurity protocols can be implemented when entering a farm to minimise the risk of spreading diseases (</w:t>
      </w:r>
      <w:r w:rsidR="00D7403A">
        <w:t xml:space="preserve">refer to </w:t>
      </w:r>
      <w:r w:rsidR="00D318C4">
        <w:t xml:space="preserve">PED </w:t>
      </w:r>
      <w:r>
        <w:t xml:space="preserve">SOP 4 </w:t>
      </w:r>
      <w:r w:rsidR="00DE169C" w:rsidRPr="00DE169C">
        <w:t>Farmgate biosecurity – People</w:t>
      </w:r>
      <w:r w:rsidR="00DE169C">
        <w:t xml:space="preserve"> </w:t>
      </w:r>
      <w:r>
        <w:t xml:space="preserve">and </w:t>
      </w:r>
      <w:r w:rsidR="00D318C4">
        <w:t xml:space="preserve">PED </w:t>
      </w:r>
      <w:r>
        <w:t>SOP 5</w:t>
      </w:r>
      <w:r w:rsidR="00DE169C">
        <w:t xml:space="preserve"> </w:t>
      </w:r>
      <w:r w:rsidR="00DE169C" w:rsidRPr="00DE169C">
        <w:t>Farmgate biosecurity – Vehicles</w:t>
      </w:r>
      <w:r>
        <w:t>).</w:t>
      </w:r>
    </w:p>
    <w:p w14:paraId="5602A26C" w14:textId="01B5C01C" w:rsidR="00C6019E" w:rsidRPr="00E21A03" w:rsidRDefault="00C6019E" w:rsidP="00E21A03">
      <w:pPr>
        <w:pStyle w:val="Heading3"/>
        <w:rPr>
          <w:color w:val="005696"/>
        </w:rPr>
      </w:pPr>
      <w:r w:rsidRPr="00E21A03">
        <w:rPr>
          <w:color w:val="005696"/>
        </w:rPr>
        <w:t>Farm deliveries</w:t>
      </w:r>
    </w:p>
    <w:p w14:paraId="7EDF285B" w14:textId="77777777" w:rsidR="0006291B" w:rsidRDefault="005E529F" w:rsidP="00C6019E">
      <w:r w:rsidRPr="005E529F">
        <w:t>Deliveries and collections present a potential route for disease transmission and should be managed carefully.</w:t>
      </w:r>
      <w:r>
        <w:t xml:space="preserve"> </w:t>
      </w:r>
    </w:p>
    <w:p w14:paraId="763D2E4A" w14:textId="43285F5C" w:rsidR="005E529F" w:rsidRDefault="005E529F" w:rsidP="00C6019E">
      <w:r w:rsidRPr="005E529F">
        <w:t>When making deliveries or collections, consider the following:</w:t>
      </w:r>
    </w:p>
    <w:p w14:paraId="635F31D3" w14:textId="079EEB49" w:rsidR="00D7403A" w:rsidRDefault="00C6019E" w:rsidP="001E0B1F">
      <w:pPr>
        <w:pStyle w:val="Bullet"/>
      </w:pPr>
      <w:r>
        <w:t xml:space="preserve">All vehicles entering the farm must be properly </w:t>
      </w:r>
      <w:r w:rsidR="00587C14">
        <w:t>cleaned, disinfected</w:t>
      </w:r>
      <w:r>
        <w:t xml:space="preserve"> and dry </w:t>
      </w:r>
    </w:p>
    <w:p w14:paraId="3735BE98" w14:textId="411D19DC" w:rsidR="00D7403A" w:rsidRDefault="00C6019E" w:rsidP="001E0B1F">
      <w:pPr>
        <w:pStyle w:val="Bullet"/>
      </w:pPr>
      <w:r>
        <w:t>It is essential that no faecal contamination is present on the vehicle as this is one of the main transmission routes of enteric diseases such as swine dysentery</w:t>
      </w:r>
    </w:p>
    <w:p w14:paraId="3E1DED7D" w14:textId="742DD869" w:rsidR="00C6019E" w:rsidRDefault="00C6019E" w:rsidP="001E0B1F">
      <w:pPr>
        <w:pStyle w:val="Bullet"/>
      </w:pPr>
      <w:r>
        <w:t xml:space="preserve">Pay particular attention to areas that </w:t>
      </w:r>
      <w:proofErr w:type="gramStart"/>
      <w:r>
        <w:t>come into contact with</w:t>
      </w:r>
      <w:proofErr w:type="gramEnd"/>
      <w:r>
        <w:t xml:space="preserve"> the farm, such as boots (cab footwells), equipment (feed pipes, driving boards, etc.) and loading ramps</w:t>
      </w:r>
    </w:p>
    <w:p w14:paraId="1D2CAF9A" w14:textId="77777777" w:rsidR="00C6019E" w:rsidRDefault="00C6019E" w:rsidP="001E0B1F">
      <w:pPr>
        <w:pStyle w:val="Bullet"/>
      </w:pPr>
      <w:r>
        <w:t>The farm should supply you with PPE, e.g. disposable boots and overalls, and waterproof trousers and boots if you’re collecting pigs; thoroughly clean and disinfect any PPE used</w:t>
      </w:r>
    </w:p>
    <w:p w14:paraId="56595C98" w14:textId="77777777" w:rsidR="00C6019E" w:rsidRDefault="00C6019E" w:rsidP="001E0B1F">
      <w:pPr>
        <w:pStyle w:val="Bullet"/>
      </w:pPr>
      <w:r>
        <w:lastRenderedPageBreak/>
        <w:t>Never enter a pig building and avoid heavily contaminated areas if possible</w:t>
      </w:r>
    </w:p>
    <w:p w14:paraId="3D420F28" w14:textId="77777777" w:rsidR="00C6019E" w:rsidRDefault="00C6019E" w:rsidP="001E0B1F">
      <w:pPr>
        <w:pStyle w:val="Bullet"/>
      </w:pPr>
      <w:r>
        <w:t>Disinfect wheels and wheel arches before and after leaving the farm</w:t>
      </w:r>
    </w:p>
    <w:p w14:paraId="6843AA7D" w14:textId="2A4C4680" w:rsidR="00DD16C6" w:rsidRDefault="00C6019E" w:rsidP="001E0B1F">
      <w:pPr>
        <w:pStyle w:val="Bullet"/>
      </w:pPr>
      <w:r>
        <w:t>Make sure you know the disease status of all farms you are visiting so deliveries of feed/collection of live or dead pigs from diseased farms are scheduled at the end of the week</w:t>
      </w:r>
    </w:p>
    <w:p w14:paraId="62611C20" w14:textId="53E1E43E" w:rsidR="00094EE0" w:rsidRPr="00E21A03" w:rsidRDefault="00094EE0" w:rsidP="00E21A03">
      <w:pPr>
        <w:pStyle w:val="Heading3"/>
        <w:rPr>
          <w:color w:val="007CBF"/>
        </w:rPr>
      </w:pPr>
      <w:r w:rsidRPr="00E21A03">
        <w:rPr>
          <w:color w:val="007CBF"/>
        </w:rPr>
        <w:t>Overseas visits</w:t>
      </w:r>
    </w:p>
    <w:p w14:paraId="377794B3" w14:textId="77777777" w:rsidR="00FA5EB4" w:rsidRDefault="001C319C" w:rsidP="00094EE0">
      <w:r w:rsidRPr="001C319C">
        <w:t>Overseas travel can increase the risk of introducing new diseases and disease strains into the UK.</w:t>
      </w:r>
      <w:r>
        <w:t xml:space="preserve"> </w:t>
      </w:r>
    </w:p>
    <w:p w14:paraId="7A2AE515" w14:textId="7413CFF4" w:rsidR="001C319C" w:rsidRDefault="00FA5EB4" w:rsidP="00094EE0">
      <w:r>
        <w:t>Make sure you take t</w:t>
      </w:r>
      <w:r w:rsidR="001C319C" w:rsidRPr="001C319C">
        <w:t>he following precautions:</w:t>
      </w:r>
    </w:p>
    <w:p w14:paraId="4280DD74" w14:textId="7159FED7" w:rsidR="00094EE0" w:rsidRDefault="00094EE0" w:rsidP="00606281">
      <w:pPr>
        <w:pStyle w:val="Bullet"/>
      </w:pPr>
      <w:r>
        <w:t xml:space="preserve">Only essential overseas visitors should be allowed onto pig </w:t>
      </w:r>
      <w:r w:rsidR="000B0DF3">
        <w:t>farms,</w:t>
      </w:r>
      <w:r>
        <w:t xml:space="preserve"> and they must have entered Great Britain at least 72 hours before their visit</w:t>
      </w:r>
    </w:p>
    <w:p w14:paraId="64BC7F35" w14:textId="77777777" w:rsidR="00094EE0" w:rsidRDefault="00094EE0" w:rsidP="00606281">
      <w:pPr>
        <w:pStyle w:val="Bullet"/>
      </w:pPr>
      <w:r>
        <w:t xml:space="preserve">Visitors must use the clothing and footwear provided by the unit </w:t>
      </w:r>
    </w:p>
    <w:p w14:paraId="2E690CD1" w14:textId="77777777" w:rsidR="00094EE0" w:rsidRDefault="00094EE0" w:rsidP="00606281">
      <w:pPr>
        <w:pStyle w:val="Bullet"/>
      </w:pPr>
      <w:r>
        <w:t xml:space="preserve">If you are returning from overseas, avoid direct contact with pigs for 72 hours after any contact with pigs overseas </w:t>
      </w:r>
    </w:p>
    <w:p w14:paraId="76ACCCE3" w14:textId="0EDC2AB6" w:rsidR="00094EE0" w:rsidRDefault="00094EE0" w:rsidP="00E21A03">
      <w:r>
        <w:t xml:space="preserve">Make sure your staﬀ and colleagues are aware of the risks posed by the new strains of </w:t>
      </w:r>
      <w:proofErr w:type="spellStart"/>
      <w:r>
        <w:t>PEDv</w:t>
      </w:r>
      <w:proofErr w:type="spellEnd"/>
      <w:r>
        <w:t xml:space="preserve"> and that they comply with all biosecurity measures requested of them</w:t>
      </w:r>
      <w:r w:rsidR="009D0E16">
        <w:t>.</w:t>
      </w:r>
    </w:p>
    <w:p w14:paraId="686345BA" w14:textId="1FF9A3A5" w:rsidR="00094EE0" w:rsidRDefault="00094EE0" w:rsidP="00094EE0">
      <w:r>
        <w:t>Encourage all pig keepers to contact their veterinarian immediately if they notice unusual or severe diarrhoea, especially in young piglets.</w:t>
      </w:r>
    </w:p>
    <w:p w14:paraId="43C65BB3" w14:textId="1EF1582B" w:rsidR="00094EE0" w:rsidRDefault="00094EE0" w:rsidP="00094EE0">
      <w:r>
        <w:t>Be prepared to review the source and safety of any nutritional products used on the farm and assess whether any of them could introduce or increase disease risk.</w:t>
      </w:r>
    </w:p>
    <w:p w14:paraId="02DEEF1F" w14:textId="30099D43" w:rsidR="004B398D" w:rsidRDefault="004B398D" w:rsidP="00662E8F">
      <w:pPr>
        <w:pStyle w:val="Heading2"/>
        <w:tabs>
          <w:tab w:val="right" w:pos="9026"/>
        </w:tabs>
      </w:pPr>
      <w:r>
        <w:t xml:space="preserve">Explore further resources on </w:t>
      </w:r>
      <w:proofErr w:type="spellStart"/>
      <w:r>
        <w:t>PEDv</w:t>
      </w:r>
      <w:proofErr w:type="spellEnd"/>
      <w:r w:rsidR="00662E8F">
        <w:tab/>
      </w:r>
    </w:p>
    <w:p w14:paraId="3D881E53" w14:textId="1A999E39" w:rsidR="004B398D" w:rsidRDefault="004B398D" w:rsidP="004B398D">
      <w:r>
        <w:t>This source provides additional information and up</w:t>
      </w:r>
      <w:r>
        <w:rPr>
          <w:rFonts w:ascii="Cambria Math" w:hAnsi="Cambria Math" w:cs="Cambria Math"/>
        </w:rPr>
        <w:t>‑</w:t>
      </w:r>
      <w:r>
        <w:t>to</w:t>
      </w:r>
      <w:r>
        <w:rPr>
          <w:rFonts w:ascii="Cambria Math" w:hAnsi="Cambria Math" w:cs="Cambria Math"/>
        </w:rPr>
        <w:t>‑</w:t>
      </w:r>
      <w:r>
        <w:t xml:space="preserve">date guidance on </w:t>
      </w:r>
      <w:proofErr w:type="spellStart"/>
      <w:r>
        <w:t>PEDv</w:t>
      </w:r>
      <w:proofErr w:type="spellEnd"/>
      <w:r>
        <w:t>:</w:t>
      </w:r>
    </w:p>
    <w:p w14:paraId="50337462" w14:textId="79DE643D" w:rsidR="004B398D" w:rsidRDefault="004B398D" w:rsidP="004B398D">
      <w:pPr>
        <w:pStyle w:val="Bullet"/>
      </w:pPr>
      <w:r>
        <w:t xml:space="preserve">All SOPs </w:t>
      </w:r>
      <w:r w:rsidR="002E7BF5">
        <w:t xml:space="preserve">are </w:t>
      </w:r>
      <w:r>
        <w:t xml:space="preserve">available on our website – </w:t>
      </w:r>
      <w:hyperlink r:id="rId10" w:history="1">
        <w:r w:rsidRPr="00615601">
          <w:rPr>
            <w:rStyle w:val="Hyperlink"/>
          </w:rPr>
          <w:t>ahdb.org.uk/</w:t>
        </w:r>
        <w:proofErr w:type="spellStart"/>
        <w:r w:rsidRPr="00615601">
          <w:rPr>
            <w:rStyle w:val="Hyperlink"/>
          </w:rPr>
          <w:t>PEDv</w:t>
        </w:r>
        <w:proofErr w:type="spellEnd"/>
      </w:hyperlink>
    </w:p>
    <w:p w14:paraId="6104A4F9" w14:textId="77777777" w:rsidR="004B398D" w:rsidRDefault="004B398D" w:rsidP="004B398D">
      <w:pPr>
        <w:pStyle w:val="Bullet-2bulletslist"/>
        <w:numPr>
          <w:ilvl w:val="0"/>
          <w:numId w:val="0"/>
        </w:numPr>
        <w:ind w:left="284" w:hanging="284"/>
      </w:pPr>
      <w:r>
        <w:rPr>
          <w:noProof/>
        </w:rPr>
        <w:drawing>
          <wp:inline distT="0" distB="0" distL="0" distR="0" wp14:anchorId="0A39C857" wp14:editId="65C769F3">
            <wp:extent cx="1004118" cy="885825"/>
            <wp:effectExtent l="0" t="0" r="5715" b="0"/>
            <wp:docPr id="2786201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201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0115" cy="899937"/>
                    </a:xfrm>
                    <a:prstGeom prst="rect">
                      <a:avLst/>
                    </a:prstGeom>
                    <a:noFill/>
                    <a:ln>
                      <a:noFill/>
                    </a:ln>
                  </pic:spPr>
                </pic:pic>
              </a:graphicData>
            </a:graphic>
          </wp:inline>
        </w:drawing>
      </w:r>
      <w:r>
        <w:rPr>
          <w:noProof/>
        </w:rPr>
        <w:drawing>
          <wp:inline distT="0" distB="0" distL="0" distR="0" wp14:anchorId="2E387FE5" wp14:editId="488F4E41">
            <wp:extent cx="1696554" cy="885532"/>
            <wp:effectExtent l="0" t="0" r="0" b="0"/>
            <wp:docPr id="88649327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493279"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23892" cy="899802"/>
                    </a:xfrm>
                    <a:prstGeom prst="rect">
                      <a:avLst/>
                    </a:prstGeom>
                    <a:noFill/>
                    <a:ln>
                      <a:noFill/>
                    </a:ln>
                  </pic:spPr>
                </pic:pic>
              </a:graphicData>
            </a:graphic>
          </wp:inline>
        </w:drawing>
      </w:r>
      <w:r>
        <w:rPr>
          <w:noProof/>
        </w:rPr>
        <w:drawing>
          <wp:inline distT="0" distB="0" distL="0" distR="0" wp14:anchorId="3CB9FA31" wp14:editId="45BFF6D4">
            <wp:extent cx="1582420" cy="419021"/>
            <wp:effectExtent l="0" t="0" r="0" b="635"/>
            <wp:docPr id="205328278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282788" name="Picture 3">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15920" cy="427892"/>
                    </a:xfrm>
                    <a:prstGeom prst="rect">
                      <a:avLst/>
                    </a:prstGeom>
                    <a:noFill/>
                    <a:ln>
                      <a:noFill/>
                    </a:ln>
                  </pic:spPr>
                </pic:pic>
              </a:graphicData>
            </a:graphic>
          </wp:inline>
        </w:drawing>
      </w:r>
      <w:r>
        <w:rPr>
          <w:noProof/>
        </w:rPr>
        <w:drawing>
          <wp:inline distT="0" distB="0" distL="0" distR="0" wp14:anchorId="706CF25D" wp14:editId="1E9AC157">
            <wp:extent cx="1071475" cy="417342"/>
            <wp:effectExtent l="0" t="0" r="0" b="1905"/>
            <wp:docPr id="2137278657"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278657" name="Picture 4">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1475" cy="417342"/>
                    </a:xfrm>
                    <a:prstGeom prst="rect">
                      <a:avLst/>
                    </a:prstGeom>
                    <a:noFill/>
                    <a:ln>
                      <a:noFill/>
                    </a:ln>
                  </pic:spPr>
                </pic:pic>
              </a:graphicData>
            </a:graphic>
          </wp:inline>
        </w:drawing>
      </w:r>
    </w:p>
    <w:p w14:paraId="2128A8DA" w14:textId="77777777" w:rsidR="00C93514" w:rsidRDefault="00C93514" w:rsidP="00534A9E"/>
    <w:sectPr w:rsidR="00C93514" w:rsidSect="00525FA9">
      <w:headerReference w:type="default" r:id="rId15"/>
      <w:footerReference w:type="even" r:id="rId16"/>
      <w:footerReference w:type="default" r:id="rId17"/>
      <w:pgSz w:w="11906" w:h="16838"/>
      <w:pgMar w:top="1440" w:right="1440" w:bottom="1440"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F3E31" w14:textId="77777777" w:rsidR="0021053D" w:rsidRDefault="0021053D" w:rsidP="00F86FBC">
      <w:r>
        <w:separator/>
      </w:r>
    </w:p>
    <w:p w14:paraId="66A1B53D" w14:textId="77777777" w:rsidR="0021053D" w:rsidRDefault="0021053D"/>
  </w:endnote>
  <w:endnote w:type="continuationSeparator" w:id="0">
    <w:p w14:paraId="3DF09424" w14:textId="77777777" w:rsidR="0021053D" w:rsidRDefault="0021053D" w:rsidP="00F86FBC">
      <w:r>
        <w:continuationSeparator/>
      </w:r>
    </w:p>
    <w:p w14:paraId="516FEB50" w14:textId="77777777" w:rsidR="0021053D" w:rsidRDefault="002105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altName w:val="Ubuntu Medium"/>
    <w:charset w:val="00"/>
    <w:family w:val="swiss"/>
    <w:pitch w:val="variable"/>
    <w:sig w:usb0="E00002FF" w:usb1="5000205B" w:usb2="00000000" w:usb3="00000000" w:csb0="0000009F" w:csb1="00000000"/>
  </w:font>
  <w:font w:name="Ubuntu">
    <w:charset w:val="00"/>
    <w:family w:val="swiss"/>
    <w:pitch w:val="variable"/>
    <w:sig w:usb0="E00002FF" w:usb1="5000205B" w:usb2="00000000" w:usb3="00000000" w:csb0="0000009F" w:csb1="00000000"/>
  </w:font>
  <w:font w:name="Consolas">
    <w:panose1 w:val="020B0609020204030204"/>
    <w:charset w:val="00"/>
    <w:family w:val="modern"/>
    <w:pitch w:val="fixed"/>
    <w:sig w:usb0="E10006FF" w:usb1="4000FCFF" w:usb2="00000009"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224A5DD1"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FDEB07" w14:textId="77777777" w:rsidR="00F41E71" w:rsidRDefault="00F41E71" w:rsidP="00F86FBC">
    <w:pPr>
      <w:pStyle w:val="Footer"/>
    </w:pPr>
  </w:p>
  <w:p w14:paraId="3D2E25B0"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76913" w14:textId="7032A2A1" w:rsidR="00B05791" w:rsidRPr="00B05791" w:rsidRDefault="6613328E" w:rsidP="6613328E">
    <w:pPr>
      <w:pStyle w:val="Footer"/>
      <w:tabs>
        <w:tab w:val="clear" w:pos="4513"/>
        <w:tab w:val="center" w:pos="4395"/>
      </w:tabs>
      <w:rPr>
        <w:sz w:val="20"/>
      </w:rPr>
    </w:pPr>
    <w:r w:rsidRPr="6613328E">
      <w:rPr>
        <w:sz w:val="20"/>
      </w:rPr>
      <w:t xml:space="preserve">Page </w:t>
    </w:r>
    <w:r w:rsidR="00F41E71" w:rsidRPr="6613328E">
      <w:rPr>
        <w:sz w:val="20"/>
      </w:rPr>
      <w:fldChar w:fldCharType="begin"/>
    </w:r>
    <w:r w:rsidR="00F41E71" w:rsidRPr="6613328E">
      <w:rPr>
        <w:sz w:val="24"/>
        <w:szCs w:val="24"/>
      </w:rPr>
      <w:instrText xml:space="preserve"> PAGE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of </w:t>
    </w:r>
    <w:r w:rsidR="00F41E71" w:rsidRPr="6613328E">
      <w:rPr>
        <w:sz w:val="20"/>
      </w:rPr>
      <w:fldChar w:fldCharType="begin"/>
    </w:r>
    <w:r w:rsidR="00F41E71" w:rsidRPr="6613328E">
      <w:rPr>
        <w:sz w:val="24"/>
        <w:szCs w:val="24"/>
      </w:rPr>
      <w:instrText xml:space="preserve"> NUMPAGES  \* Arabic  \* MERGEFORMAT </w:instrText>
    </w:r>
    <w:r w:rsidR="00F41E71" w:rsidRPr="6613328E">
      <w:rPr>
        <w:sz w:val="24"/>
        <w:szCs w:val="24"/>
      </w:rPr>
      <w:fldChar w:fldCharType="separate"/>
    </w:r>
    <w:r w:rsidRPr="6613328E">
      <w:rPr>
        <w:sz w:val="20"/>
      </w:rPr>
      <w:t>2</w:t>
    </w:r>
    <w:r w:rsidR="00F41E71" w:rsidRPr="6613328E">
      <w:rPr>
        <w:sz w:val="20"/>
      </w:rPr>
      <w:fldChar w:fldCharType="end"/>
    </w:r>
    <w:r w:rsidRPr="6613328E">
      <w:rPr>
        <w:sz w:val="20"/>
      </w:rPr>
      <w:t xml:space="preserve"> </w:t>
    </w:r>
    <w:r w:rsidR="00F41E71">
      <w:tab/>
    </w:r>
    <w:r w:rsidRPr="6613328E">
      <w:rPr>
        <w:rFonts w:ascii="Symbol" w:eastAsia="Symbol" w:hAnsi="Symbol" w:cs="Symbol"/>
        <w:sz w:val="20"/>
      </w:rPr>
      <w:t>ã</w:t>
    </w:r>
    <w:r w:rsidRPr="6613328E">
      <w:rPr>
        <w:sz w:val="20"/>
      </w:rPr>
      <w:t xml:space="preserve"> Agriculture and Horticulture Development Board </w:t>
    </w:r>
    <w:r w:rsidR="00F41E71" w:rsidRPr="6613328E">
      <w:rPr>
        <w:sz w:val="24"/>
        <w:szCs w:val="24"/>
      </w:rPr>
      <w:fldChar w:fldCharType="begin"/>
    </w:r>
    <w:r w:rsidR="00F41E71" w:rsidRPr="6613328E">
      <w:rPr>
        <w:sz w:val="24"/>
        <w:szCs w:val="24"/>
      </w:rPr>
      <w:instrText xml:space="preserve"> DATE \@ "yyyy" \* MERGEFORMAT </w:instrText>
    </w:r>
    <w:r w:rsidR="00F41E71" w:rsidRPr="6613328E">
      <w:rPr>
        <w:sz w:val="24"/>
        <w:szCs w:val="24"/>
      </w:rPr>
      <w:fldChar w:fldCharType="separate"/>
    </w:r>
    <w:r w:rsidR="008604ED" w:rsidRPr="008604ED">
      <w:rPr>
        <w:noProof/>
        <w:sz w:val="20"/>
      </w:rPr>
      <w:t>2026</w:t>
    </w:r>
    <w:r w:rsidR="00F41E71" w:rsidRPr="6613328E">
      <w:rPr>
        <w:sz w:val="24"/>
        <w:szCs w:val="24"/>
      </w:rPr>
      <w:fldChar w:fldCharType="end"/>
    </w:r>
    <w:r w:rsidRPr="6613328E">
      <w:rPr>
        <w:sz w:val="20"/>
      </w:rPr>
      <w:t>. All rights reserved.</w:t>
    </w:r>
  </w:p>
  <w:p w14:paraId="02F6A0C0" w14:textId="77777777" w:rsidR="00F41E71" w:rsidRPr="00B05791" w:rsidRDefault="00F41E71" w:rsidP="00B05791">
    <w:pPr>
      <w:pStyle w:val="Footer"/>
      <w:tabs>
        <w:tab w:val="center" w:pos="4395"/>
      </w:tabs>
      <w:rPr>
        <w:sz w:val="24"/>
        <w:szCs w:val="24"/>
      </w:rPr>
    </w:pPr>
  </w:p>
  <w:p w14:paraId="4A81849F" w14:textId="77777777" w:rsidR="00F2259C" w:rsidRDefault="00F2259C" w:rsidP="00F86FBC">
    <w:pPr>
      <w:pStyle w:val="Footer"/>
    </w:pPr>
  </w:p>
  <w:p w14:paraId="65C9A9AE"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13E3B" w14:textId="77777777" w:rsidR="0021053D" w:rsidRDefault="0021053D" w:rsidP="00F86FBC">
      <w:r>
        <w:separator/>
      </w:r>
    </w:p>
    <w:p w14:paraId="079D16D5" w14:textId="77777777" w:rsidR="0021053D" w:rsidRDefault="0021053D"/>
  </w:footnote>
  <w:footnote w:type="continuationSeparator" w:id="0">
    <w:p w14:paraId="7834862D" w14:textId="77777777" w:rsidR="0021053D" w:rsidRDefault="0021053D" w:rsidP="00F86FBC">
      <w:r>
        <w:continuationSeparator/>
      </w:r>
    </w:p>
    <w:p w14:paraId="120C582C" w14:textId="77777777" w:rsidR="0021053D" w:rsidRDefault="002105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73DF6" w14:textId="5E7E75BA"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1B21F65B">
          <wp:simplePos x="0" y="0"/>
          <wp:positionH relativeFrom="column">
            <wp:posOffset>5051002</wp:posOffset>
          </wp:positionH>
          <wp:positionV relativeFrom="paragraph">
            <wp:posOffset>9525</wp:posOffset>
          </wp:positionV>
          <wp:extent cx="1259840" cy="546100"/>
          <wp:effectExtent l="0" t="0" r="0" b="635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r w:rsidR="00720F18">
      <w:t>PED SOP 14</w:t>
    </w:r>
  </w:p>
  <w:p w14:paraId="3D70F556" w14:textId="77777777" w:rsidR="005D76FD" w:rsidRDefault="005D76FD" w:rsidP="00F86FBC">
    <w:pPr>
      <w:pStyle w:val="Header"/>
    </w:pPr>
  </w:p>
  <w:p w14:paraId="3180BE75" w14:textId="77777777" w:rsidR="00783013" w:rsidRDefault="007830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202.5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7D4E9336"/>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79047BA"/>
    <w:multiLevelType w:val="hybridMultilevel"/>
    <w:tmpl w:val="B6880350"/>
    <w:lvl w:ilvl="0" w:tplc="388002D0">
      <w:start w:val="1"/>
      <w:numFmt w:val="bullet"/>
      <w:pStyle w:val="Bullet"/>
      <w:lvlText w:val=""/>
      <w:lvlJc w:val="left"/>
      <w:pPr>
        <w:ind w:left="748" w:hanging="360"/>
      </w:pPr>
      <w:rPr>
        <w:rFonts w:ascii="Symbol" w:hAnsi="Symbol" w:hint="default"/>
        <w:color w:val="0090D4"/>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14"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5"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6"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7FD6A29"/>
    <w:multiLevelType w:val="hybridMultilevel"/>
    <w:tmpl w:val="51E427DC"/>
    <w:lvl w:ilvl="0" w:tplc="8E66677C">
      <w:start w:val="1"/>
      <w:numFmt w:val="decimal"/>
      <w:lvlText w:val="%1."/>
      <w:lvlJc w:val="left"/>
      <w:pPr>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7C60C4A"/>
    <w:multiLevelType w:val="hybridMultilevel"/>
    <w:tmpl w:val="44A83B1A"/>
    <w:lvl w:ilvl="0" w:tplc="AEB01456">
      <w:start w:val="1"/>
      <w:numFmt w:val="decimal"/>
      <w:pStyle w:val="List"/>
      <w:lvlText w:val="%1."/>
      <w:lvlJc w:val="left"/>
      <w:pPr>
        <w:ind w:left="1286" w:hanging="360"/>
      </w:pPr>
      <w:rPr>
        <w:rFonts w:ascii="Arial" w:hAnsi="Arial" w:hint="default"/>
        <w:b w:val="0"/>
        <w:i w:val="0"/>
        <w:color w:val="4D4D4C"/>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2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BED384D"/>
    <w:multiLevelType w:val="hybridMultilevel"/>
    <w:tmpl w:val="94C23F9C"/>
    <w:lvl w:ilvl="0" w:tplc="A0FA38AA">
      <w:start w:val="1"/>
      <w:numFmt w:val="bullet"/>
      <w:pStyle w:val="Bullet-2bulletslist"/>
      <w:lvlText w:val=""/>
      <w:lvlJc w:val="left"/>
      <w:pPr>
        <w:ind w:left="284" w:hanging="284"/>
      </w:pPr>
      <w:rPr>
        <w:rFonts w:ascii="Symbol" w:hAnsi="Symbol" w:hint="default"/>
        <w:color w:val="0090D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FFE0409"/>
    <w:multiLevelType w:val="hybridMultilevel"/>
    <w:tmpl w:val="EE82708C"/>
    <w:lvl w:ilvl="0" w:tplc="48320D2A">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1"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2"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C614337"/>
    <w:multiLevelType w:val="multilevel"/>
    <w:tmpl w:val="0809001D"/>
    <w:numStyleLink w:val="Bulletpoints"/>
  </w:abstractNum>
  <w:abstractNum w:abstractNumId="36" w15:restartNumberingAfterBreak="0">
    <w:nsid w:val="60637560"/>
    <w:multiLevelType w:val="multilevel"/>
    <w:tmpl w:val="0809001D"/>
    <w:styleLink w:val="Bulletpoints"/>
    <w:lvl w:ilvl="0">
      <w:start w:val="1"/>
      <w:numFmt w:val="bullet"/>
      <w:lvlText w:val="□"/>
      <w:lvlJc w:val="left"/>
      <w:pPr>
        <w:ind w:left="360" w:hanging="360"/>
      </w:pPr>
      <w:rPr>
        <w:rFonts w:ascii="Arial" w:hAnsi="Arial" w:hint="default"/>
        <w:color w:val="0082CA"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26"/>
  </w:num>
  <w:num w:numId="2" w16cid:durableId="440146533">
    <w:abstractNumId w:val="0"/>
  </w:num>
  <w:num w:numId="3" w16cid:durableId="2051806794">
    <w:abstractNumId w:val="18"/>
  </w:num>
  <w:num w:numId="4" w16cid:durableId="1476675530">
    <w:abstractNumId w:val="32"/>
  </w:num>
  <w:num w:numId="5" w16cid:durableId="1114057574">
    <w:abstractNumId w:val="34"/>
  </w:num>
  <w:num w:numId="6" w16cid:durableId="1979526830">
    <w:abstractNumId w:val="22"/>
  </w:num>
  <w:num w:numId="7" w16cid:durableId="686911828">
    <w:abstractNumId w:val="21"/>
  </w:num>
  <w:num w:numId="8" w16cid:durableId="1088189810">
    <w:abstractNumId w:val="17"/>
  </w:num>
  <w:num w:numId="9" w16cid:durableId="998582142">
    <w:abstractNumId w:val="11"/>
  </w:num>
  <w:num w:numId="10" w16cid:durableId="2112973659">
    <w:abstractNumId w:val="12"/>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27"/>
  </w:num>
  <w:num w:numId="22" w16cid:durableId="669450329">
    <w:abstractNumId w:val="25"/>
  </w:num>
  <w:num w:numId="23" w16cid:durableId="1919287998">
    <w:abstractNumId w:val="30"/>
  </w:num>
  <w:num w:numId="24" w16cid:durableId="2006857881">
    <w:abstractNumId w:val="19"/>
  </w:num>
  <w:num w:numId="25" w16cid:durableId="1574075096">
    <w:abstractNumId w:val="20"/>
  </w:num>
  <w:num w:numId="26" w16cid:durableId="264920688">
    <w:abstractNumId w:val="15"/>
  </w:num>
  <w:num w:numId="27" w16cid:durableId="1996297387">
    <w:abstractNumId w:val="28"/>
  </w:num>
  <w:num w:numId="28" w16cid:durableId="495390249">
    <w:abstractNumId w:val="23"/>
  </w:num>
  <w:num w:numId="29" w16cid:durableId="759790617">
    <w:abstractNumId w:val="19"/>
    <w:lvlOverride w:ilvl="0">
      <w:startOverride w:val="1"/>
    </w:lvlOverride>
  </w:num>
  <w:num w:numId="30" w16cid:durableId="1368289204">
    <w:abstractNumId w:val="33"/>
  </w:num>
  <w:num w:numId="31" w16cid:durableId="756832289">
    <w:abstractNumId w:val="14"/>
  </w:num>
  <w:num w:numId="32" w16cid:durableId="2110000414">
    <w:abstractNumId w:val="37"/>
  </w:num>
  <w:num w:numId="33" w16cid:durableId="1933931263">
    <w:abstractNumId w:val="16"/>
  </w:num>
  <w:num w:numId="34" w16cid:durableId="1722896190">
    <w:abstractNumId w:val="31"/>
  </w:num>
  <w:num w:numId="35" w16cid:durableId="307898449">
    <w:abstractNumId w:val="36"/>
  </w:num>
  <w:num w:numId="36" w16cid:durableId="1071661329">
    <w:abstractNumId w:val="35"/>
  </w:num>
  <w:num w:numId="37" w16cid:durableId="220093339">
    <w:abstractNumId w:val="13"/>
  </w:num>
  <w:num w:numId="38" w16cid:durableId="114493013">
    <w:abstractNumId w:val="24"/>
  </w:num>
  <w:num w:numId="39" w16cid:durableId="2334664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846"/>
    <w:rsid w:val="00000149"/>
    <w:rsid w:val="00001414"/>
    <w:rsid w:val="00005C32"/>
    <w:rsid w:val="000073E2"/>
    <w:rsid w:val="00010023"/>
    <w:rsid w:val="00016E84"/>
    <w:rsid w:val="000603D9"/>
    <w:rsid w:val="00060BAD"/>
    <w:rsid w:val="0006243B"/>
    <w:rsid w:val="0006291B"/>
    <w:rsid w:val="000652BD"/>
    <w:rsid w:val="00070FC7"/>
    <w:rsid w:val="0008594E"/>
    <w:rsid w:val="00094EE0"/>
    <w:rsid w:val="000B0DF3"/>
    <w:rsid w:val="000B5B6B"/>
    <w:rsid w:val="000C0E78"/>
    <w:rsid w:val="000C0EAA"/>
    <w:rsid w:val="000C5AD0"/>
    <w:rsid w:val="000C6DA1"/>
    <w:rsid w:val="000E0CC6"/>
    <w:rsid w:val="000E3896"/>
    <w:rsid w:val="00100AC0"/>
    <w:rsid w:val="00101CFB"/>
    <w:rsid w:val="00114C48"/>
    <w:rsid w:val="001166C0"/>
    <w:rsid w:val="001222C3"/>
    <w:rsid w:val="00123796"/>
    <w:rsid w:val="00125AC0"/>
    <w:rsid w:val="001276F4"/>
    <w:rsid w:val="00132CC2"/>
    <w:rsid w:val="00136CA7"/>
    <w:rsid w:val="0015453B"/>
    <w:rsid w:val="00162F15"/>
    <w:rsid w:val="00164680"/>
    <w:rsid w:val="0017068D"/>
    <w:rsid w:val="001777A4"/>
    <w:rsid w:val="001924A6"/>
    <w:rsid w:val="001A77E4"/>
    <w:rsid w:val="001A7B17"/>
    <w:rsid w:val="001B22CB"/>
    <w:rsid w:val="001B47CB"/>
    <w:rsid w:val="001C319C"/>
    <w:rsid w:val="001D17FC"/>
    <w:rsid w:val="001D2A4F"/>
    <w:rsid w:val="001E0B1F"/>
    <w:rsid w:val="001E675E"/>
    <w:rsid w:val="00204B44"/>
    <w:rsid w:val="0021053D"/>
    <w:rsid w:val="00211E92"/>
    <w:rsid w:val="00213709"/>
    <w:rsid w:val="00226D7C"/>
    <w:rsid w:val="00233DA5"/>
    <w:rsid w:val="002341E1"/>
    <w:rsid w:val="00242BE9"/>
    <w:rsid w:val="00243D9B"/>
    <w:rsid w:val="00257BDB"/>
    <w:rsid w:val="00263DD9"/>
    <w:rsid w:val="0027056A"/>
    <w:rsid w:val="00271B49"/>
    <w:rsid w:val="00271FAB"/>
    <w:rsid w:val="00284707"/>
    <w:rsid w:val="00295C29"/>
    <w:rsid w:val="002A3CB4"/>
    <w:rsid w:val="002B03AF"/>
    <w:rsid w:val="002B53AC"/>
    <w:rsid w:val="002B708D"/>
    <w:rsid w:val="002D1274"/>
    <w:rsid w:val="002D17D3"/>
    <w:rsid w:val="002E4B61"/>
    <w:rsid w:val="002E7BF5"/>
    <w:rsid w:val="002F559A"/>
    <w:rsid w:val="002F64F8"/>
    <w:rsid w:val="003016D2"/>
    <w:rsid w:val="00335EAB"/>
    <w:rsid w:val="00337D0D"/>
    <w:rsid w:val="0035023E"/>
    <w:rsid w:val="00371A1C"/>
    <w:rsid w:val="0037473F"/>
    <w:rsid w:val="003747AA"/>
    <w:rsid w:val="00380A1B"/>
    <w:rsid w:val="00391132"/>
    <w:rsid w:val="003946C5"/>
    <w:rsid w:val="003D0E26"/>
    <w:rsid w:val="003D0E4F"/>
    <w:rsid w:val="003D10DF"/>
    <w:rsid w:val="003F30B5"/>
    <w:rsid w:val="003F5B81"/>
    <w:rsid w:val="00421214"/>
    <w:rsid w:val="00426604"/>
    <w:rsid w:val="00437579"/>
    <w:rsid w:val="004441FD"/>
    <w:rsid w:val="004556F2"/>
    <w:rsid w:val="00460A64"/>
    <w:rsid w:val="00467747"/>
    <w:rsid w:val="00470C05"/>
    <w:rsid w:val="0047606A"/>
    <w:rsid w:val="004862EE"/>
    <w:rsid w:val="004948BB"/>
    <w:rsid w:val="004A7F6F"/>
    <w:rsid w:val="004B398D"/>
    <w:rsid w:val="004C0E9A"/>
    <w:rsid w:val="004D5544"/>
    <w:rsid w:val="004F0AA1"/>
    <w:rsid w:val="004F2A87"/>
    <w:rsid w:val="004F44A9"/>
    <w:rsid w:val="004F5EF5"/>
    <w:rsid w:val="00502D75"/>
    <w:rsid w:val="0051201A"/>
    <w:rsid w:val="00525FA9"/>
    <w:rsid w:val="0052718A"/>
    <w:rsid w:val="00527301"/>
    <w:rsid w:val="005323C8"/>
    <w:rsid w:val="00534A9E"/>
    <w:rsid w:val="00544050"/>
    <w:rsid w:val="00546049"/>
    <w:rsid w:val="00546BC3"/>
    <w:rsid w:val="0057030F"/>
    <w:rsid w:val="00576BFE"/>
    <w:rsid w:val="005873B4"/>
    <w:rsid w:val="00587400"/>
    <w:rsid w:val="00587C14"/>
    <w:rsid w:val="005A18F6"/>
    <w:rsid w:val="005C0E73"/>
    <w:rsid w:val="005D6F6B"/>
    <w:rsid w:val="005D76FD"/>
    <w:rsid w:val="005E23F6"/>
    <w:rsid w:val="005E529F"/>
    <w:rsid w:val="005F5A75"/>
    <w:rsid w:val="00606281"/>
    <w:rsid w:val="00611317"/>
    <w:rsid w:val="0062338C"/>
    <w:rsid w:val="00625DDC"/>
    <w:rsid w:val="00632A67"/>
    <w:rsid w:val="006563E4"/>
    <w:rsid w:val="00662E8F"/>
    <w:rsid w:val="006740DE"/>
    <w:rsid w:val="006803BA"/>
    <w:rsid w:val="006807B8"/>
    <w:rsid w:val="00683160"/>
    <w:rsid w:val="00686074"/>
    <w:rsid w:val="00687A70"/>
    <w:rsid w:val="0069006B"/>
    <w:rsid w:val="00695466"/>
    <w:rsid w:val="006A4280"/>
    <w:rsid w:val="006A57A2"/>
    <w:rsid w:val="006B0389"/>
    <w:rsid w:val="006E46BF"/>
    <w:rsid w:val="006F0812"/>
    <w:rsid w:val="00705F7A"/>
    <w:rsid w:val="00720F18"/>
    <w:rsid w:val="00721010"/>
    <w:rsid w:val="00725D0B"/>
    <w:rsid w:val="00731F40"/>
    <w:rsid w:val="00740B5A"/>
    <w:rsid w:val="0075088B"/>
    <w:rsid w:val="00753979"/>
    <w:rsid w:val="00773A07"/>
    <w:rsid w:val="00783013"/>
    <w:rsid w:val="007A3454"/>
    <w:rsid w:val="007A7CA1"/>
    <w:rsid w:val="007B0F62"/>
    <w:rsid w:val="007C3170"/>
    <w:rsid w:val="007C7EC8"/>
    <w:rsid w:val="007E51BB"/>
    <w:rsid w:val="007F230D"/>
    <w:rsid w:val="00800A52"/>
    <w:rsid w:val="0082080F"/>
    <w:rsid w:val="00820EC5"/>
    <w:rsid w:val="00826167"/>
    <w:rsid w:val="008270F4"/>
    <w:rsid w:val="0083209F"/>
    <w:rsid w:val="00854E1C"/>
    <w:rsid w:val="008550BC"/>
    <w:rsid w:val="008552E0"/>
    <w:rsid w:val="008604ED"/>
    <w:rsid w:val="00864C3E"/>
    <w:rsid w:val="0089180B"/>
    <w:rsid w:val="00896AB5"/>
    <w:rsid w:val="008A1B8E"/>
    <w:rsid w:val="008B2A08"/>
    <w:rsid w:val="008B56E8"/>
    <w:rsid w:val="008C7FD4"/>
    <w:rsid w:val="008D3AC1"/>
    <w:rsid w:val="008D5DC9"/>
    <w:rsid w:val="008D6F80"/>
    <w:rsid w:val="009260A8"/>
    <w:rsid w:val="00926D5E"/>
    <w:rsid w:val="00932A32"/>
    <w:rsid w:val="00933190"/>
    <w:rsid w:val="009362DD"/>
    <w:rsid w:val="00943846"/>
    <w:rsid w:val="0094691A"/>
    <w:rsid w:val="0095095F"/>
    <w:rsid w:val="00954387"/>
    <w:rsid w:val="00955D45"/>
    <w:rsid w:val="009816EB"/>
    <w:rsid w:val="009818CE"/>
    <w:rsid w:val="00984BF1"/>
    <w:rsid w:val="00997426"/>
    <w:rsid w:val="009A2990"/>
    <w:rsid w:val="009A795C"/>
    <w:rsid w:val="009C12B8"/>
    <w:rsid w:val="009C31AB"/>
    <w:rsid w:val="009D09CB"/>
    <w:rsid w:val="009D0E16"/>
    <w:rsid w:val="009D28C8"/>
    <w:rsid w:val="009D6691"/>
    <w:rsid w:val="009E755D"/>
    <w:rsid w:val="00A217A0"/>
    <w:rsid w:val="00A37BFE"/>
    <w:rsid w:val="00A40A3D"/>
    <w:rsid w:val="00A42E0D"/>
    <w:rsid w:val="00A45796"/>
    <w:rsid w:val="00A54644"/>
    <w:rsid w:val="00A56646"/>
    <w:rsid w:val="00A57BA1"/>
    <w:rsid w:val="00A63591"/>
    <w:rsid w:val="00A72177"/>
    <w:rsid w:val="00A73699"/>
    <w:rsid w:val="00A80A8A"/>
    <w:rsid w:val="00AB2A06"/>
    <w:rsid w:val="00AB3E3D"/>
    <w:rsid w:val="00AD4DEA"/>
    <w:rsid w:val="00AE2062"/>
    <w:rsid w:val="00AE388B"/>
    <w:rsid w:val="00AE499B"/>
    <w:rsid w:val="00B008EB"/>
    <w:rsid w:val="00B00C84"/>
    <w:rsid w:val="00B05791"/>
    <w:rsid w:val="00B1575C"/>
    <w:rsid w:val="00B20325"/>
    <w:rsid w:val="00B27019"/>
    <w:rsid w:val="00B27316"/>
    <w:rsid w:val="00B31E1F"/>
    <w:rsid w:val="00B360F6"/>
    <w:rsid w:val="00B52380"/>
    <w:rsid w:val="00B533D0"/>
    <w:rsid w:val="00B539D5"/>
    <w:rsid w:val="00B64E15"/>
    <w:rsid w:val="00B7599C"/>
    <w:rsid w:val="00B83C96"/>
    <w:rsid w:val="00B94C21"/>
    <w:rsid w:val="00BA078F"/>
    <w:rsid w:val="00BB51D6"/>
    <w:rsid w:val="00BC23D2"/>
    <w:rsid w:val="00BD2E1A"/>
    <w:rsid w:val="00BF495F"/>
    <w:rsid w:val="00BF4B69"/>
    <w:rsid w:val="00BF6837"/>
    <w:rsid w:val="00C100F5"/>
    <w:rsid w:val="00C12BCC"/>
    <w:rsid w:val="00C13308"/>
    <w:rsid w:val="00C30205"/>
    <w:rsid w:val="00C4143D"/>
    <w:rsid w:val="00C43DBA"/>
    <w:rsid w:val="00C45208"/>
    <w:rsid w:val="00C50F8C"/>
    <w:rsid w:val="00C6019E"/>
    <w:rsid w:val="00C60438"/>
    <w:rsid w:val="00C637AB"/>
    <w:rsid w:val="00C65AC7"/>
    <w:rsid w:val="00C66840"/>
    <w:rsid w:val="00C70315"/>
    <w:rsid w:val="00C93514"/>
    <w:rsid w:val="00C97B8B"/>
    <w:rsid w:val="00C97F90"/>
    <w:rsid w:val="00CB3F09"/>
    <w:rsid w:val="00CC1E0C"/>
    <w:rsid w:val="00CC2858"/>
    <w:rsid w:val="00CC57CB"/>
    <w:rsid w:val="00CD18BF"/>
    <w:rsid w:val="00CD34E4"/>
    <w:rsid w:val="00CD566B"/>
    <w:rsid w:val="00CE697C"/>
    <w:rsid w:val="00CE6A48"/>
    <w:rsid w:val="00CF2BB4"/>
    <w:rsid w:val="00CF470A"/>
    <w:rsid w:val="00D008FE"/>
    <w:rsid w:val="00D06B06"/>
    <w:rsid w:val="00D22572"/>
    <w:rsid w:val="00D2272E"/>
    <w:rsid w:val="00D30757"/>
    <w:rsid w:val="00D318C4"/>
    <w:rsid w:val="00D37F7C"/>
    <w:rsid w:val="00D57709"/>
    <w:rsid w:val="00D7065A"/>
    <w:rsid w:val="00D7403A"/>
    <w:rsid w:val="00D8334A"/>
    <w:rsid w:val="00D8638C"/>
    <w:rsid w:val="00D90A95"/>
    <w:rsid w:val="00DA6ACF"/>
    <w:rsid w:val="00DB2D05"/>
    <w:rsid w:val="00DC1ABF"/>
    <w:rsid w:val="00DD16C6"/>
    <w:rsid w:val="00DD39E2"/>
    <w:rsid w:val="00DE169C"/>
    <w:rsid w:val="00DF7ADC"/>
    <w:rsid w:val="00E21A03"/>
    <w:rsid w:val="00E3109C"/>
    <w:rsid w:val="00E40DB7"/>
    <w:rsid w:val="00E4578E"/>
    <w:rsid w:val="00E511D0"/>
    <w:rsid w:val="00E549BE"/>
    <w:rsid w:val="00E5543B"/>
    <w:rsid w:val="00E62483"/>
    <w:rsid w:val="00E83E71"/>
    <w:rsid w:val="00E85B8C"/>
    <w:rsid w:val="00EA3CD2"/>
    <w:rsid w:val="00EA7745"/>
    <w:rsid w:val="00EB0C82"/>
    <w:rsid w:val="00EB332B"/>
    <w:rsid w:val="00EC5325"/>
    <w:rsid w:val="00EC729C"/>
    <w:rsid w:val="00ED1C76"/>
    <w:rsid w:val="00EE1F0C"/>
    <w:rsid w:val="00EE2530"/>
    <w:rsid w:val="00EE35C5"/>
    <w:rsid w:val="00EE4203"/>
    <w:rsid w:val="00EE4E27"/>
    <w:rsid w:val="00EE77FC"/>
    <w:rsid w:val="00F04E0F"/>
    <w:rsid w:val="00F12A58"/>
    <w:rsid w:val="00F151EC"/>
    <w:rsid w:val="00F2259C"/>
    <w:rsid w:val="00F2580B"/>
    <w:rsid w:val="00F41D79"/>
    <w:rsid w:val="00F41E71"/>
    <w:rsid w:val="00F52587"/>
    <w:rsid w:val="00F545FB"/>
    <w:rsid w:val="00F622F6"/>
    <w:rsid w:val="00F62404"/>
    <w:rsid w:val="00F86FBC"/>
    <w:rsid w:val="00FA051F"/>
    <w:rsid w:val="00FA1F61"/>
    <w:rsid w:val="00FA4019"/>
    <w:rsid w:val="00FA48C7"/>
    <w:rsid w:val="00FA5EB4"/>
    <w:rsid w:val="00FA7E00"/>
    <w:rsid w:val="00FC4A32"/>
    <w:rsid w:val="00FC5E79"/>
    <w:rsid w:val="00FD2C9D"/>
    <w:rsid w:val="00FD616B"/>
    <w:rsid w:val="00FE320C"/>
    <w:rsid w:val="00FF0BED"/>
    <w:rsid w:val="00FF3BFF"/>
    <w:rsid w:val="661332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A44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54E1C"/>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next w:val="Bullet"/>
    <w:uiPriority w:val="99"/>
    <w:unhideWhenUsed/>
    <w:qFormat/>
    <w:rsid w:val="00525FA9"/>
    <w:pPr>
      <w:numPr>
        <w:numId w:val="38"/>
      </w:numPr>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 w:type="numbering" w:customStyle="1" w:styleId="Bulletpoints">
    <w:name w:val="Bullet points"/>
    <w:basedOn w:val="NoList"/>
    <w:uiPriority w:val="99"/>
    <w:rsid w:val="00A57BA1"/>
    <w:pPr>
      <w:numPr>
        <w:numId w:val="35"/>
      </w:numPr>
    </w:pPr>
  </w:style>
  <w:style w:type="paragraph" w:customStyle="1" w:styleId="Bullet">
    <w:name w:val="Bullet"/>
    <w:basedOn w:val="Normal"/>
    <w:qFormat/>
    <w:rsid w:val="00525FA9"/>
    <w:pPr>
      <w:numPr>
        <w:numId w:val="37"/>
      </w:numPr>
      <w:ind w:left="1080"/>
    </w:pPr>
  </w:style>
  <w:style w:type="paragraph" w:styleId="Revision">
    <w:name w:val="Revision"/>
    <w:hidden/>
    <w:uiPriority w:val="99"/>
    <w:semiHidden/>
    <w:rsid w:val="005A18F6"/>
    <w:pPr>
      <w:spacing w:after="0" w:line="240" w:lineRule="auto"/>
    </w:pPr>
    <w:rPr>
      <w:rFonts w:ascii="Arial" w:eastAsia="Times New Roman" w:hAnsi="Arial" w:cs="Arial"/>
      <w:color w:val="5F5F5F"/>
      <w:sz w:val="20"/>
      <w:szCs w:val="20"/>
      <w:lang w:eastAsia="en-GB"/>
    </w:rPr>
  </w:style>
  <w:style w:type="paragraph" w:customStyle="1" w:styleId="Bullet-2bulletslist">
    <w:name w:val="Bullet - 2. bullets list"/>
    <w:basedOn w:val="Normal"/>
    <w:qFormat/>
    <w:rsid w:val="004B398D"/>
    <w:pPr>
      <w:numPr>
        <w:numId w:val="39"/>
      </w:numPr>
      <w:spacing w:before="120" w:after="120" w:line="312" w:lineRule="auto"/>
    </w:pPr>
    <w:rPr>
      <w:rFonts w:eastAsiaTheme="minorEastAsia" w:cstheme="minorBidi"/>
      <w:color w:val="4D4D4C"/>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hdb.org.uk/PED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1E388-3B3F-410F-8A78-D0813DE60CBD}">
  <ds:schemaRefs>
    <ds:schemaRef ds:uri="http://schemas.openxmlformats.org/officeDocument/2006/bibliography"/>
  </ds:schemaRefs>
</ds:datastoreItem>
</file>

<file path=docMetadata/LabelInfo.xml><?xml version="1.0" encoding="utf-8"?>
<clbl:labelList xmlns:clbl="http://schemas.microsoft.com/office/2020/mipLabelMetadata">
  <clbl:label id="{247acc34-5011-4832-85e6-4d28a09e4a0b}" enabled="1" method="Privileged" siteId="{a12ce54b-3d3d-4346-95ef-ff13ca5dd47d}"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4317</Characters>
  <Application>Microsoft Office Word</Application>
  <DocSecurity>10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PED_SOP_14_Biosecurity_briefing_for_the_allied_pig_industry</dc:title>
  <dc:subject/>
  <dc:creator/>
  <cp:keywords/>
  <dc:description/>
  <cp:lastModifiedBy/>
  <cp:revision>1</cp:revision>
  <dcterms:created xsi:type="dcterms:W3CDTF">2026-08-20T13:38:00Z</dcterms:created>
  <dcterms:modified xsi:type="dcterms:W3CDTF">2026-08-20T13:39:00Z</dcterms:modified>
</cp:coreProperties>
</file>